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CA1" w14:textId="36B1F09D" w:rsidR="00605E92" w:rsidRDefault="00605E92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  <w:lang w:val="en-GB"/>
        </w:rPr>
      </w:pPr>
      <w:r>
        <w:rPr>
          <w:rFonts w:ascii="Calibri" w:eastAsiaTheme="majorEastAsia" w:hAnsi="Calibri" w:cs="Calibri"/>
          <w:b/>
          <w:bCs/>
          <w:noProof/>
          <w:sz w:val="32"/>
          <w:szCs w:val="32"/>
          <w:lang w:val="en-GB"/>
          <w14:ligatures w14:val="standardContextual"/>
        </w:rPr>
        <w:drawing>
          <wp:inline distT="0" distB="0" distL="0" distR="0" wp14:anchorId="63689AC3" wp14:editId="6044695B">
            <wp:extent cx="5731510" cy="1460500"/>
            <wp:effectExtent l="0" t="0" r="0" b="0"/>
            <wp:docPr id="18438112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811259" name="Picture 184381125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958F" w14:textId="77777777" w:rsidR="00605E92" w:rsidRDefault="00605E92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  <w:lang w:val="en-GB"/>
        </w:rPr>
      </w:pPr>
    </w:p>
    <w:p w14:paraId="4463F7E3" w14:textId="77777777" w:rsidR="00605E92" w:rsidRDefault="00605E92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32"/>
          <w:szCs w:val="32"/>
          <w:lang w:val="en-GB"/>
        </w:rPr>
      </w:pPr>
    </w:p>
    <w:p w14:paraId="0539B3DE" w14:textId="58475A67" w:rsidR="0018587D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lang w:val="en-GB"/>
        </w:rPr>
      </w:pPr>
      <w:r w:rsidRPr="00E50AE8">
        <w:rPr>
          <w:rStyle w:val="normaltextrun"/>
          <w:rFonts w:ascii="Calibri" w:eastAsiaTheme="majorEastAsia" w:hAnsi="Calibri" w:cs="Calibri"/>
          <w:b/>
          <w:bCs/>
          <w:sz w:val="32"/>
          <w:szCs w:val="32"/>
          <w:lang w:val="en-GB"/>
        </w:rPr>
        <w:t>BASIN AÇIKLAMASI</w:t>
      </w:r>
      <w:r w:rsidR="0018587D" w:rsidRPr="00E50AE8">
        <w:rPr>
          <w:rStyle w:val="normaltextrun"/>
          <w:rFonts w:ascii="Calibri" w:eastAsiaTheme="majorEastAsia" w:hAnsi="Calibri" w:cs="Calibri"/>
          <w:sz w:val="32"/>
          <w:szCs w:val="32"/>
          <w:lang w:val="en-GB"/>
        </w:rPr>
        <w:t> </w:t>
      </w:r>
      <w:r w:rsidR="0018587D" w:rsidRPr="0018587D">
        <w:rPr>
          <w:rStyle w:val="normaltextrun"/>
          <w:rFonts w:ascii="Calibri" w:eastAsiaTheme="majorEastAsia" w:hAnsi="Calibri" w:cs="Calibri"/>
          <w:i/>
          <w:iCs/>
          <w:lang w:val="en-GB"/>
        </w:rPr>
        <w:t>GENDRO &amp; EASE</w:t>
      </w:r>
    </w:p>
    <w:p w14:paraId="0CEC469B" w14:textId="77777777" w:rsidR="001D14A6" w:rsidRPr="0018587D" w:rsidRDefault="001D14A6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74B4611" w14:textId="3B078C1E" w:rsidR="0018587D" w:rsidRDefault="00233AB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</w:pPr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SAGER,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küresel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araştırmalarda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eşitliğin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güçlendirilmesine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katkı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sağlayan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 10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yılını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kutluyor</w:t>
      </w:r>
      <w:proofErr w:type="spellEnd"/>
    </w:p>
    <w:p w14:paraId="6489B46A" w14:textId="4E3B3128" w:rsidR="00233AB8" w:rsidRPr="0018587D" w:rsidRDefault="00E50AE8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F4761"/>
        </w:rPr>
      </w:pPr>
      <w:r>
        <w:rPr>
          <w:rFonts w:ascii="Calibri" w:hAnsi="Calibri" w:cs="Calibri"/>
          <w:color w:val="0F4761"/>
        </w:rPr>
        <w:tab/>
      </w:r>
    </w:p>
    <w:p w14:paraId="6389A99D" w14:textId="77777777" w:rsidR="00233AB8" w:rsidRPr="00233AB8" w:rsidRDefault="00233AB8" w:rsidP="0018587D">
      <w:pPr>
        <w:spacing w:after="0" w:line="240" w:lineRule="auto"/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</w:pP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i/>
          <w:iCs/>
          <w:kern w:val="0"/>
          <w:lang w:val="en-GB" w:eastAsia="en-GB"/>
          <w14:ligatures w14:val="none"/>
        </w:rPr>
        <w:t>Cenevre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i/>
          <w:iCs/>
          <w:kern w:val="0"/>
          <w:lang w:val="en-GB" w:eastAsia="en-GB"/>
          <w14:ligatures w14:val="none"/>
        </w:rPr>
        <w:t xml:space="preserve"> / Londra, </w:t>
      </w:r>
      <w:proofErr w:type="spellStart"/>
      <w:r w:rsidRPr="00233AB8">
        <w:rPr>
          <w:rStyle w:val="normaltextrun"/>
          <w:rFonts w:ascii="Calibri" w:eastAsiaTheme="majorEastAsia" w:hAnsi="Calibri" w:cs="Calibri"/>
          <w:b/>
          <w:bCs/>
          <w:i/>
          <w:iCs/>
          <w:kern w:val="0"/>
          <w:lang w:val="en-GB" w:eastAsia="en-GB"/>
          <w14:ligatures w14:val="none"/>
        </w:rPr>
        <w:t>Mayıs</w:t>
      </w:r>
      <w:proofErr w:type="spellEnd"/>
      <w:r w:rsidRPr="00233AB8">
        <w:rPr>
          <w:rStyle w:val="normaltextrun"/>
          <w:rFonts w:ascii="Calibri" w:eastAsiaTheme="majorEastAsia" w:hAnsi="Calibri" w:cs="Calibri"/>
          <w:b/>
          <w:bCs/>
          <w:i/>
          <w:iCs/>
          <w:kern w:val="0"/>
          <w:lang w:val="en-GB" w:eastAsia="en-GB"/>
          <w14:ligatures w14:val="none"/>
        </w:rPr>
        <w:t xml:space="preserve"> 2026: </w:t>
      </w:r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Bu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yıl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,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araştırmalarda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önyargıları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tanıyan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ve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bunları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ele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almak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için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somut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araçlar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ile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öneriler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sunan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ilk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küresel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bilimsel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çerçevelerden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biri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olan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Araştırmalarda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Cinsiyet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ve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Toplumsal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Cinsiyet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Eşitliği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(</w:t>
      </w:r>
      <w:r w:rsidRPr="00E50AE8">
        <w:rPr>
          <w:rStyle w:val="normaltextrun"/>
          <w:rFonts w:ascii="Calibri" w:eastAsiaTheme="majorEastAsia" w:hAnsi="Calibri" w:cs="Calibri"/>
          <w:i/>
          <w:iCs/>
          <w:kern w:val="0"/>
          <w:lang w:val="en-GB" w:eastAsia="en-GB"/>
          <w14:ligatures w14:val="none"/>
        </w:rPr>
        <w:t>Sex and Gender Equity in Research</w:t>
      </w:r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– SAGER)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kılavuzlarının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yayımlanmasının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 xml:space="preserve"> 10. </w:t>
      </w:r>
      <w:proofErr w:type="spellStart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yılıdır</w:t>
      </w:r>
      <w:proofErr w:type="spellEnd"/>
      <w:r w:rsidRPr="00233AB8">
        <w:rPr>
          <w:rStyle w:val="normaltextrun"/>
          <w:rFonts w:ascii="Calibri" w:eastAsiaTheme="majorEastAsia" w:hAnsi="Calibri" w:cs="Calibri"/>
          <w:kern w:val="0"/>
          <w:lang w:val="en-GB" w:eastAsia="en-GB"/>
          <w14:ligatures w14:val="none"/>
        </w:rPr>
        <w:t>.</w:t>
      </w:r>
    </w:p>
    <w:p w14:paraId="0055844D" w14:textId="77777777" w:rsidR="00233AB8" w:rsidRDefault="00233AB8" w:rsidP="0018587D">
      <w:pPr>
        <w:spacing w:after="0" w:line="240" w:lineRule="auto"/>
        <w:rPr>
          <w:rStyle w:val="normaltextrun"/>
          <w:rFonts w:ascii="Calibri" w:eastAsiaTheme="majorEastAsia" w:hAnsi="Calibri" w:cs="Calibri"/>
          <w:b/>
          <w:bCs/>
          <w:i/>
          <w:iCs/>
          <w:kern w:val="0"/>
          <w:lang w:val="en-GB" w:eastAsia="en-GB"/>
          <w14:ligatures w14:val="none"/>
        </w:rPr>
      </w:pPr>
    </w:p>
    <w:p w14:paraId="17460E94" w14:textId="7876CFC6" w:rsidR="0018587D" w:rsidRDefault="00233AB8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spellStart"/>
      <w:r w:rsidRPr="00233AB8">
        <w:rPr>
          <w:rFonts w:ascii="Calibri" w:hAnsi="Calibri" w:cs="Calibri"/>
        </w:rPr>
        <w:t>SAGER’ın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bu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özel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yıl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dönümü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kampanyası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iddialı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hedef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ortaya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koymaktadır</w:t>
      </w:r>
      <w:proofErr w:type="spellEnd"/>
      <w:r w:rsidRPr="00233AB8">
        <w:rPr>
          <w:rFonts w:ascii="Calibri" w:hAnsi="Calibri" w:cs="Calibri"/>
        </w:rPr>
        <w:t xml:space="preserve">: 2026 </w:t>
      </w:r>
      <w:proofErr w:type="spellStart"/>
      <w:r w:rsidRPr="00233AB8">
        <w:rPr>
          <w:rFonts w:ascii="Calibri" w:hAnsi="Calibri" w:cs="Calibri"/>
        </w:rPr>
        <w:t>yılı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sonuna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kadar</w:t>
      </w:r>
      <w:proofErr w:type="spellEnd"/>
      <w:r w:rsidRPr="00233AB8">
        <w:rPr>
          <w:rFonts w:ascii="Calibri" w:hAnsi="Calibri" w:cs="Calibri"/>
        </w:rPr>
        <w:t xml:space="preserve"> 2 </w:t>
      </w:r>
      <w:proofErr w:type="spellStart"/>
      <w:r w:rsidRPr="00233AB8">
        <w:rPr>
          <w:rFonts w:ascii="Calibri" w:hAnsi="Calibri" w:cs="Calibri"/>
        </w:rPr>
        <w:t>milyon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erişime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ulaşmak</w:t>
      </w:r>
      <w:proofErr w:type="spellEnd"/>
      <w:r w:rsidRPr="00233AB8">
        <w:rPr>
          <w:rFonts w:ascii="Calibri" w:hAnsi="Calibri" w:cs="Calibri"/>
        </w:rPr>
        <w:t xml:space="preserve">. </w:t>
      </w:r>
      <w:proofErr w:type="spellStart"/>
      <w:r w:rsidRPr="00233AB8">
        <w:rPr>
          <w:rFonts w:ascii="Calibri" w:hAnsi="Calibri" w:cs="Calibri"/>
        </w:rPr>
        <w:t>Tüm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araştırmacıları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editörleri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kurumları</w:t>
      </w:r>
      <w:proofErr w:type="spellEnd"/>
      <w:r w:rsidRPr="00233AB8">
        <w:rPr>
          <w:rFonts w:ascii="Calibri" w:hAnsi="Calibri" w:cs="Calibri"/>
        </w:rPr>
        <w:t xml:space="preserve"> SAGER </w:t>
      </w:r>
      <w:proofErr w:type="spellStart"/>
      <w:r w:rsidRPr="00233AB8">
        <w:rPr>
          <w:rFonts w:ascii="Calibri" w:hAnsi="Calibri" w:cs="Calibri"/>
        </w:rPr>
        <w:t>kılavuzlarını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yaygınlaştırmaya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bunları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araştırma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planlarına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ile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değerlendirme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süreçlerine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entegre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etmeye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davet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ediyoruz</w:t>
      </w:r>
      <w:proofErr w:type="spellEnd"/>
      <w:r w:rsidRPr="00233AB8">
        <w:rPr>
          <w:rFonts w:ascii="Calibri" w:hAnsi="Calibri" w:cs="Calibri"/>
        </w:rPr>
        <w:t>.</w:t>
      </w:r>
    </w:p>
    <w:p w14:paraId="5C9A78F8" w14:textId="77777777" w:rsidR="00233AB8" w:rsidRDefault="00233AB8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1B94578" w14:textId="7C94D102" w:rsidR="00233AB8" w:rsidRDefault="00233AB8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spellStart"/>
      <w:r w:rsidRPr="00233AB8">
        <w:rPr>
          <w:rFonts w:ascii="Calibri" w:hAnsi="Calibri" w:cs="Calibri"/>
        </w:rPr>
        <w:t>Araştırma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tasarımı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analiz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raporlama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süreçlerinde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biyolojik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cinsiyet</w:t>
      </w:r>
      <w:proofErr w:type="spellEnd"/>
      <w:r w:rsidRPr="00233AB8">
        <w:rPr>
          <w:rFonts w:ascii="Calibri" w:hAnsi="Calibri" w:cs="Calibri"/>
        </w:rPr>
        <w:t xml:space="preserve"> (sex)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toplumsal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cinsiyetin</w:t>
      </w:r>
      <w:proofErr w:type="spellEnd"/>
      <w:r w:rsidRPr="00233AB8">
        <w:rPr>
          <w:rFonts w:ascii="Calibri" w:hAnsi="Calibri" w:cs="Calibri"/>
        </w:rPr>
        <w:t xml:space="preserve"> (gender) </w:t>
      </w:r>
      <w:proofErr w:type="spellStart"/>
      <w:r w:rsidRPr="00233AB8">
        <w:rPr>
          <w:rFonts w:ascii="Calibri" w:hAnsi="Calibri" w:cs="Calibri"/>
        </w:rPr>
        <w:t>sistematik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biçimde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göz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ardı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edilmesinin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bilimsel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kaliteyi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zayıflattığı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sağlık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ile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toplumsal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sonuçlarda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eşitsizliklere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katkıda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bulunduğunun</w:t>
      </w:r>
      <w:proofErr w:type="spellEnd"/>
      <w:r w:rsidRPr="00233AB8">
        <w:rPr>
          <w:rFonts w:ascii="Calibri" w:hAnsi="Calibri" w:cs="Calibri"/>
        </w:rPr>
        <w:t xml:space="preserve"> </w:t>
      </w:r>
      <w:hyperlink r:id="rId8" w:history="1">
        <w:proofErr w:type="spellStart"/>
        <w:r w:rsidRPr="00233AB8">
          <w:rPr>
            <w:rStyle w:val="Hyperlink"/>
            <w:rFonts w:ascii="Calibri" w:hAnsi="Calibri" w:cs="Calibri"/>
          </w:rPr>
          <w:t>giderek</w:t>
        </w:r>
        <w:proofErr w:type="spellEnd"/>
        <w:r w:rsidRPr="00233AB8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233AB8">
          <w:rPr>
            <w:rStyle w:val="Hyperlink"/>
            <w:rFonts w:ascii="Calibri" w:hAnsi="Calibri" w:cs="Calibri"/>
          </w:rPr>
          <w:t>daha</w:t>
        </w:r>
        <w:proofErr w:type="spellEnd"/>
        <w:r w:rsidRPr="00233AB8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233AB8">
          <w:rPr>
            <w:rStyle w:val="Hyperlink"/>
            <w:rFonts w:ascii="Calibri" w:hAnsi="Calibri" w:cs="Calibri"/>
          </w:rPr>
          <w:t>fazla</w:t>
        </w:r>
        <w:proofErr w:type="spellEnd"/>
        <w:r w:rsidRPr="00233AB8">
          <w:rPr>
            <w:rStyle w:val="Hyperlink"/>
            <w:rFonts w:ascii="Calibri" w:hAnsi="Calibri" w:cs="Calibri"/>
          </w:rPr>
          <w:t xml:space="preserve"> fark </w:t>
        </w:r>
        <w:proofErr w:type="spellStart"/>
        <w:r w:rsidRPr="00233AB8">
          <w:rPr>
            <w:rStyle w:val="Hyperlink"/>
            <w:rFonts w:ascii="Calibri" w:hAnsi="Calibri" w:cs="Calibri"/>
          </w:rPr>
          <w:t>edilmesi</w:t>
        </w:r>
        <w:proofErr w:type="spellEnd"/>
      </w:hyperlink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üzerine</w:t>
      </w:r>
      <w:proofErr w:type="spellEnd"/>
      <w:r w:rsidRPr="00233AB8">
        <w:rPr>
          <w:rFonts w:ascii="Calibri" w:hAnsi="Calibri" w:cs="Calibri"/>
        </w:rPr>
        <w:t xml:space="preserve"> SAGER </w:t>
      </w:r>
      <w:proofErr w:type="spellStart"/>
      <w:r w:rsidRPr="00233AB8">
        <w:rPr>
          <w:rFonts w:ascii="Calibri" w:hAnsi="Calibri" w:cs="Calibri"/>
        </w:rPr>
        <w:t>kılavuzları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Mayıs</w:t>
      </w:r>
      <w:proofErr w:type="spellEnd"/>
      <w:r w:rsidRPr="00233AB8">
        <w:rPr>
          <w:rFonts w:ascii="Calibri" w:hAnsi="Calibri" w:cs="Calibri"/>
        </w:rPr>
        <w:t xml:space="preserve"> 2016’da </w:t>
      </w:r>
      <w:proofErr w:type="spellStart"/>
      <w:r w:rsidRPr="00233AB8">
        <w:rPr>
          <w:rFonts w:ascii="Calibri" w:hAnsi="Calibri" w:cs="Calibri"/>
        </w:rPr>
        <w:t>yayımlanmıştır</w:t>
      </w:r>
      <w:proofErr w:type="spellEnd"/>
      <w:r w:rsidRPr="00233AB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233AB8">
        <w:rPr>
          <w:rFonts w:ascii="Calibri" w:hAnsi="Calibri" w:cs="Calibri"/>
        </w:rPr>
        <w:t xml:space="preserve">Bu </w:t>
      </w:r>
      <w:proofErr w:type="spellStart"/>
      <w:r w:rsidRPr="00233AB8">
        <w:rPr>
          <w:rFonts w:ascii="Calibri" w:hAnsi="Calibri" w:cs="Calibri"/>
        </w:rPr>
        <w:t>kılavuzlar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dergiler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yayınevleri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araştırmacılar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için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disiplinler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arasında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biyolojik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cinsiyet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toplumsal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cinsiyetin</w:t>
      </w:r>
      <w:proofErr w:type="spellEnd"/>
      <w:r w:rsidRPr="00233AB8">
        <w:rPr>
          <w:rFonts w:ascii="Calibri" w:hAnsi="Calibri" w:cs="Calibri"/>
        </w:rPr>
        <w:t xml:space="preserve"> rutin </w:t>
      </w:r>
      <w:proofErr w:type="spellStart"/>
      <w:r w:rsidRPr="00233AB8">
        <w:rPr>
          <w:rFonts w:ascii="Calibri" w:hAnsi="Calibri" w:cs="Calibri"/>
        </w:rPr>
        <w:t>olarak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dikkate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alınmasını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raporlanmasını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sağlayan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ortak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çerçeve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sunmaktadır</w:t>
      </w:r>
      <w:proofErr w:type="spellEnd"/>
      <w:r w:rsidRPr="00233AB8">
        <w:rPr>
          <w:rFonts w:ascii="Calibri" w:hAnsi="Calibri" w:cs="Calibri"/>
        </w:rPr>
        <w:t xml:space="preserve">. Amaç, </w:t>
      </w:r>
      <w:proofErr w:type="spellStart"/>
      <w:r w:rsidRPr="00233AB8">
        <w:rPr>
          <w:rFonts w:ascii="Calibri" w:hAnsi="Calibri" w:cs="Calibri"/>
        </w:rPr>
        <w:t>toplumsal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cinsiyete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ilişkin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kanıt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boşluğunu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azaltmak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bilimsel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titizliği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tekrarlanabilirliği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şeffaflığı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güçlendirmektir</w:t>
      </w:r>
      <w:proofErr w:type="spellEnd"/>
      <w:r w:rsidRPr="00233AB8">
        <w:rPr>
          <w:rFonts w:ascii="Calibri" w:hAnsi="Calibri" w:cs="Calibri"/>
        </w:rPr>
        <w:t>.</w:t>
      </w:r>
    </w:p>
    <w:p w14:paraId="097C68A6" w14:textId="77777777" w:rsidR="00233AB8" w:rsidRDefault="00233AB8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1624F7" w14:textId="68F43BC0" w:rsidR="00233AB8" w:rsidRDefault="00233AB8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233AB8">
        <w:rPr>
          <w:rFonts w:ascii="Calibri" w:hAnsi="Calibri" w:cs="Calibri"/>
        </w:rPr>
        <w:t xml:space="preserve">On </w:t>
      </w:r>
      <w:proofErr w:type="spellStart"/>
      <w:r w:rsidRPr="00233AB8">
        <w:rPr>
          <w:rFonts w:ascii="Calibri" w:hAnsi="Calibri" w:cs="Calibri"/>
        </w:rPr>
        <w:t>yıl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içinde</w:t>
      </w:r>
      <w:proofErr w:type="spellEnd"/>
      <w:r w:rsidRPr="00233AB8">
        <w:rPr>
          <w:rFonts w:ascii="Calibri" w:hAnsi="Calibri" w:cs="Calibri"/>
        </w:rPr>
        <w:t xml:space="preserve"> </w:t>
      </w:r>
      <w:hyperlink r:id="rId9" w:history="1">
        <w:r w:rsidRPr="00233AB8">
          <w:rPr>
            <w:rStyle w:val="Hyperlink"/>
            <w:rFonts w:ascii="Calibri" w:hAnsi="Calibri" w:cs="Calibri"/>
          </w:rPr>
          <w:t xml:space="preserve">SAGER </w:t>
        </w:r>
        <w:proofErr w:type="spellStart"/>
        <w:r w:rsidRPr="00233AB8">
          <w:rPr>
            <w:rStyle w:val="Hyperlink"/>
            <w:rFonts w:ascii="Calibri" w:hAnsi="Calibri" w:cs="Calibri"/>
          </w:rPr>
          <w:t>kılavuzları</w:t>
        </w:r>
        <w:proofErr w:type="spellEnd"/>
      </w:hyperlink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yaklaşık</w:t>
      </w:r>
      <w:proofErr w:type="spellEnd"/>
      <w:r w:rsidRPr="00233AB8">
        <w:rPr>
          <w:rFonts w:ascii="Calibri" w:hAnsi="Calibri" w:cs="Calibri"/>
        </w:rPr>
        <w:t xml:space="preserve"> 1,4 </w:t>
      </w:r>
      <w:proofErr w:type="spellStart"/>
      <w:r w:rsidRPr="00233AB8">
        <w:rPr>
          <w:rFonts w:ascii="Calibri" w:hAnsi="Calibri" w:cs="Calibri"/>
        </w:rPr>
        <w:t>milyon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benzersiz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erişime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ulaşmış</w:t>
      </w:r>
      <w:proofErr w:type="spellEnd"/>
      <w:r w:rsidR="00325B96">
        <w:rPr>
          <w:rStyle w:val="FootnoteReference"/>
          <w:rFonts w:ascii="Calibri" w:hAnsi="Calibri" w:cs="Calibri"/>
        </w:rPr>
        <w:footnoteReference w:id="1"/>
      </w:r>
      <w:r w:rsidRPr="00233AB8">
        <w:rPr>
          <w:rFonts w:ascii="Calibri" w:hAnsi="Calibri" w:cs="Calibri"/>
        </w:rPr>
        <w:t xml:space="preserve">, 1.800’den </w:t>
      </w:r>
      <w:proofErr w:type="spellStart"/>
      <w:r w:rsidRPr="00233AB8">
        <w:rPr>
          <w:rFonts w:ascii="Calibri" w:hAnsi="Calibri" w:cs="Calibri"/>
        </w:rPr>
        <w:t>fazla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atıf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almış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The Lancet, BMJ, Nature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Cell </w:t>
      </w:r>
      <w:proofErr w:type="spellStart"/>
      <w:r w:rsidRPr="00233AB8">
        <w:rPr>
          <w:rFonts w:ascii="Calibri" w:hAnsi="Calibri" w:cs="Calibri"/>
        </w:rPr>
        <w:t>gibi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önde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gelen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dergilerin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yanı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sıra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farklı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disiplinlerde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faaliyet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gösteren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büyük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yayınevleri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tarafından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benimsenmiştir</w:t>
      </w:r>
      <w:proofErr w:type="spellEnd"/>
      <w:r w:rsidRPr="00233AB8">
        <w:rPr>
          <w:rFonts w:ascii="Calibri" w:hAnsi="Calibri" w:cs="Calibri"/>
        </w:rPr>
        <w:t xml:space="preserve">. Bu </w:t>
      </w:r>
      <w:proofErr w:type="spellStart"/>
      <w:r w:rsidRPr="00233AB8">
        <w:rPr>
          <w:rFonts w:ascii="Calibri" w:hAnsi="Calibri" w:cs="Calibri"/>
        </w:rPr>
        <w:t>benimseme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tahminen</w:t>
      </w:r>
      <w:proofErr w:type="spellEnd"/>
      <w:r w:rsidRPr="00233AB8">
        <w:rPr>
          <w:rFonts w:ascii="Calibri" w:hAnsi="Calibri" w:cs="Calibri"/>
        </w:rPr>
        <w:t xml:space="preserve"> 9.000 </w:t>
      </w:r>
      <w:proofErr w:type="spellStart"/>
      <w:r w:rsidRPr="00233AB8">
        <w:rPr>
          <w:rFonts w:ascii="Calibri" w:hAnsi="Calibri" w:cs="Calibri"/>
        </w:rPr>
        <w:t>dergiyi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kapsayan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geniş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yayın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ağına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yayılmıştır</w:t>
      </w:r>
      <w:proofErr w:type="spellEnd"/>
      <w:r w:rsidRPr="00233AB8">
        <w:rPr>
          <w:rFonts w:ascii="Calibri" w:hAnsi="Calibri" w:cs="Calibri"/>
        </w:rPr>
        <w:t xml:space="preserve">. </w:t>
      </w:r>
      <w:proofErr w:type="spellStart"/>
      <w:r w:rsidRPr="00233AB8">
        <w:rPr>
          <w:rFonts w:ascii="Calibri" w:hAnsi="Calibri" w:cs="Calibri"/>
        </w:rPr>
        <w:t>Kılavuzlar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ayrıca</w:t>
      </w:r>
      <w:proofErr w:type="spellEnd"/>
      <w:r w:rsidRPr="00233AB8">
        <w:rPr>
          <w:rFonts w:ascii="Calibri" w:hAnsi="Calibri" w:cs="Calibri"/>
        </w:rPr>
        <w:t xml:space="preserve"> Dünya </w:t>
      </w:r>
      <w:proofErr w:type="spellStart"/>
      <w:r w:rsidRPr="00233AB8">
        <w:rPr>
          <w:rFonts w:ascii="Calibri" w:hAnsi="Calibri" w:cs="Calibri"/>
        </w:rPr>
        <w:t>Sağlık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Örgütü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son </w:t>
      </w:r>
      <w:proofErr w:type="spellStart"/>
      <w:r w:rsidRPr="00233AB8">
        <w:rPr>
          <w:rFonts w:ascii="Calibri" w:hAnsi="Calibri" w:cs="Calibri"/>
        </w:rPr>
        <w:t>olarak</w:t>
      </w:r>
      <w:proofErr w:type="spellEnd"/>
      <w:r w:rsidRPr="00233AB8">
        <w:rPr>
          <w:rFonts w:ascii="Calibri" w:hAnsi="Calibri" w:cs="Calibri"/>
        </w:rPr>
        <w:t xml:space="preserve"> Swiss Tropical and Public Health Institute </w:t>
      </w:r>
      <w:proofErr w:type="spellStart"/>
      <w:r w:rsidRPr="00233AB8">
        <w:rPr>
          <w:rFonts w:ascii="Calibri" w:hAnsi="Calibri" w:cs="Calibri"/>
        </w:rPr>
        <w:t>gibi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araştırma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lastRenderedPageBreak/>
        <w:t>kurumları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tarafından</w:t>
      </w:r>
      <w:proofErr w:type="spellEnd"/>
      <w:r w:rsidRPr="00233AB8">
        <w:rPr>
          <w:rFonts w:ascii="Calibri" w:hAnsi="Calibri" w:cs="Calibri"/>
        </w:rPr>
        <w:t xml:space="preserve"> da </w:t>
      </w:r>
      <w:proofErr w:type="spellStart"/>
      <w:r w:rsidRPr="00233AB8">
        <w:rPr>
          <w:rFonts w:ascii="Calibri" w:hAnsi="Calibri" w:cs="Calibri"/>
        </w:rPr>
        <w:t>kabul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edilmiştir</w:t>
      </w:r>
      <w:proofErr w:type="spellEnd"/>
      <w:r w:rsidRPr="00233AB8">
        <w:rPr>
          <w:rFonts w:ascii="Calibri" w:hAnsi="Calibri" w:cs="Calibri"/>
        </w:rPr>
        <w:t xml:space="preserve">. Bu </w:t>
      </w:r>
      <w:proofErr w:type="spellStart"/>
      <w:r w:rsidRPr="00233AB8">
        <w:rPr>
          <w:rFonts w:ascii="Calibri" w:hAnsi="Calibri" w:cs="Calibri"/>
        </w:rPr>
        <w:t>gelişmeler</w:t>
      </w:r>
      <w:proofErr w:type="spellEnd"/>
      <w:r w:rsidRPr="00233AB8">
        <w:rPr>
          <w:rFonts w:ascii="Calibri" w:hAnsi="Calibri" w:cs="Calibri"/>
        </w:rPr>
        <w:t xml:space="preserve">, SAGER </w:t>
      </w:r>
      <w:proofErr w:type="spellStart"/>
      <w:r w:rsidRPr="00233AB8">
        <w:rPr>
          <w:rFonts w:ascii="Calibri" w:hAnsi="Calibri" w:cs="Calibri"/>
        </w:rPr>
        <w:t>kılavuzlarının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araştırma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kalitesine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yönelik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bir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standart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olarak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giderek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daha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fazla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tanındığını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göstermektedir</w:t>
      </w:r>
      <w:proofErr w:type="spellEnd"/>
      <w:r w:rsidRPr="00233AB8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Kılavuzlar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ayrıca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Çince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Korece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Vietnamca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Türkçe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Portekizce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İspanyolca</w:t>
      </w:r>
      <w:proofErr w:type="spellEnd"/>
      <w:r w:rsidRPr="00233AB8">
        <w:rPr>
          <w:rFonts w:ascii="Calibri" w:hAnsi="Calibri" w:cs="Calibri"/>
        </w:rPr>
        <w:t xml:space="preserve">, </w:t>
      </w:r>
      <w:proofErr w:type="spellStart"/>
      <w:r w:rsidRPr="00233AB8">
        <w:rPr>
          <w:rFonts w:ascii="Calibri" w:hAnsi="Calibri" w:cs="Calibri"/>
        </w:rPr>
        <w:t>Almanca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ve</w:t>
      </w:r>
      <w:proofErr w:type="spellEnd"/>
      <w:r w:rsidRPr="00233AB8">
        <w:rPr>
          <w:rFonts w:ascii="Calibri" w:hAnsi="Calibri" w:cs="Calibri"/>
        </w:rPr>
        <w:t xml:space="preserve"> </w:t>
      </w:r>
      <w:proofErr w:type="spellStart"/>
      <w:r w:rsidRPr="00233AB8">
        <w:rPr>
          <w:rFonts w:ascii="Calibri" w:hAnsi="Calibri" w:cs="Calibri"/>
        </w:rPr>
        <w:t>İtalyancaya</w:t>
      </w:r>
      <w:proofErr w:type="spellEnd"/>
      <w:r w:rsidRPr="00233AB8">
        <w:rPr>
          <w:rFonts w:ascii="Calibri" w:hAnsi="Calibri" w:cs="Calibri"/>
        </w:rPr>
        <w:t xml:space="preserve"> </w:t>
      </w:r>
      <w:hyperlink r:id="rId10" w:history="1">
        <w:proofErr w:type="spellStart"/>
        <w:r w:rsidRPr="00233AB8">
          <w:rPr>
            <w:rStyle w:val="Hyperlink"/>
            <w:rFonts w:ascii="Calibri" w:hAnsi="Calibri" w:cs="Calibri"/>
          </w:rPr>
          <w:t>çevrilmiştir</w:t>
        </w:r>
        <w:proofErr w:type="spellEnd"/>
      </w:hyperlink>
      <w:r w:rsidRPr="00233AB8">
        <w:rPr>
          <w:rFonts w:ascii="Calibri" w:hAnsi="Calibri" w:cs="Calibri"/>
        </w:rPr>
        <w:t>.</w:t>
      </w:r>
    </w:p>
    <w:p w14:paraId="1729776C" w14:textId="77777777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3AB4638" w14:textId="42124FB1" w:rsidR="0018587D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Bu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yolculuktaki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sonraki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hedef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araştırmacılardan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iki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milyon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erişime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ulaşmak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SAGER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kılavuzlarının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başta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önde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gelen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100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dergi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, 15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yayınevi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küresel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ölçekte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en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etkili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20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halk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sağlığı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kurumu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olmak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üzere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temel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paydaşlar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arasında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daha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geniş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ölçekte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benimsenmesini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teşvik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etmektir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.</w:t>
      </w:r>
    </w:p>
    <w:p w14:paraId="2E0BE45B" w14:textId="77777777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1D4B0E91" w14:textId="795C42C6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  <w:r w:rsidRPr="00325B96">
        <w:rPr>
          <w:rStyle w:val="normaltextrun"/>
          <w:rFonts w:ascii="Calibri" w:eastAsiaTheme="majorEastAsia" w:hAnsi="Calibri" w:cs="Calibri"/>
          <w:lang w:val="en-GB"/>
        </w:rPr>
        <w:t>“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Toplumsal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cinsiyet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eşitliğinin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giderek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daha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fazla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baskı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altında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olduğu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dönemde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bu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çalışmalar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her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zamankinden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daha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kritik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önem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taşıyor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,”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diyen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GENDRO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Direktörü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SAGER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kılavuzlarının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baş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yazarı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Dr. Shirin Heidari, “Bu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yıl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dönümü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yalnızca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kutlama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değil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;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aynı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zamanda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uygulamayı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hızlandırmak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bilimde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eşitliğe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yönelik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ortak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kararlılığımızı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güçlendirmek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için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çağrı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niteliği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taşıyor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,”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değerlendirmesinde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bulundu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>.</w:t>
      </w:r>
    </w:p>
    <w:p w14:paraId="43747F9D" w14:textId="77777777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</w:pPr>
    </w:p>
    <w:p w14:paraId="769DCF0E" w14:textId="616F2631" w:rsidR="0018587D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</w:pPr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“SAGER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kılavuzlarının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10.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yılı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daha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şeffaf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kapsayıcı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raporlama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yoluyla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bilime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duyulan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güvenin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güçlendirilmesi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açısından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önemli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dönüm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noktasını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temsil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ediyor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.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Biyolojik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cinsiyet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toplumsal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cinsiyet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boyutlarının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sistematik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biçimde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ele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alınması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sayesinde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bu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kılavuzlar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farklı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disiplinlerde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araştırmanın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bilimsel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titizliğini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tekrarlanabilirliğini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önemini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artırmıştır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,”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değerlendirmesini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yapan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EASE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Başkanı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Dr. Bahar Mehmani,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sözlerini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şöyle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sürdürdü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: “Bu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yaklaşım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editoryal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kaliteyi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geliştirmeyi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editörleri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bilimsel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yayıncılığın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bütünlüğünü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güçlendiren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pratik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standartlarla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desteklemeyi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amaçlayan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EASE’in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misyonuyla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yakından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örtüşmektedir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.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Küresel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editör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topluluğu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olarak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SAGER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kılavuzlarını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yalnızca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rehber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değil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aynı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zamanda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sorumlu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güvenilir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bilimsel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iletişimin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temel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taşlarından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biri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olarak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görüyoruz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.”</w:t>
      </w:r>
    </w:p>
    <w:p w14:paraId="07F870FB" w14:textId="77777777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</w:pPr>
    </w:p>
    <w:p w14:paraId="33C7A5A4" w14:textId="0E6AE18A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</w:pPr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2026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yılı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boyunca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GENDRO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EASE,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kılavuzlara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yönelik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farkındalığı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artırmak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benimsenmesini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teşvik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etmek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uygulanmasını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yaygınlaştırmak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amacıyla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dergiler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yayınevleri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meslek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örgütleri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küresel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kurumlarla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iş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birliği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yapacaktır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.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Planlanan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başlıca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etkinlikler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arasında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hyperlink r:id="rId11" w:history="1"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 xml:space="preserve">5 </w:t>
        </w:r>
        <w:proofErr w:type="spellStart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>Mayıs’ta</w:t>
        </w:r>
        <w:proofErr w:type="spellEnd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 xml:space="preserve"> </w:t>
        </w:r>
        <w:proofErr w:type="spellStart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>düzenlenecek</w:t>
        </w:r>
        <w:proofErr w:type="spellEnd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 xml:space="preserve"> </w:t>
        </w:r>
        <w:proofErr w:type="spellStart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>küresel</w:t>
        </w:r>
        <w:proofErr w:type="spellEnd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 xml:space="preserve"> </w:t>
        </w:r>
        <w:proofErr w:type="spellStart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>bir</w:t>
        </w:r>
        <w:proofErr w:type="spellEnd"/>
        <w:r w:rsidRPr="00325B96">
          <w:rPr>
            <w:rStyle w:val="Hyperlink"/>
            <w:rFonts w:ascii="Calibri" w:eastAsiaTheme="majorEastAsia" w:hAnsi="Calibri" w:cs="Calibri"/>
            <w:shd w:val="clear" w:color="auto" w:fill="FFFFFF"/>
            <w:lang w:val="en-GB"/>
          </w:rPr>
          <w:t xml:space="preserve"> webinar</w:t>
        </w:r>
      </w:hyperlink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18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Mayıs’ta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Cenevre’de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Dünya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Sağlık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Asamblesi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kapsamında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gerçekleştirilecek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üst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düzey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bir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yıl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dönümü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etkinliği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ile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dijital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iletişim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faaliyetleri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yer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almaktadır</w:t>
      </w:r>
      <w:proofErr w:type="spellEnd"/>
      <w:r w:rsidRPr="00325B96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.</w:t>
      </w:r>
    </w:p>
    <w:p w14:paraId="3FF6FDEC" w14:textId="77777777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2E85B1E7" w14:textId="77777777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Nasıl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Katkı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Sağlayabilirsiniz</w:t>
      </w:r>
      <w:proofErr w:type="spellEnd"/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</w:p>
    <w:p w14:paraId="5177AF7C" w14:textId="77777777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0604F208" w14:textId="5A06C9C7" w:rsidR="00325B96" w:rsidRP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Dergiler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yayınevleri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araştırma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kuruluşları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r w:rsidRPr="00325B96">
        <w:rPr>
          <w:rStyle w:val="normaltextrun"/>
          <w:rFonts w:ascii="Calibri" w:eastAsiaTheme="majorEastAsia" w:hAnsi="Calibri" w:cs="Calibri"/>
          <w:b/>
          <w:bCs/>
          <w:lang w:val="en-GB"/>
        </w:rPr>
        <w:t>#SAGER10</w:t>
      </w:r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yıl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dönümü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kampanyasını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aşağıdaki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yollardan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biri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veya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birkaçı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aracılığıyla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desteklemeye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davet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edilmektedir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>:</w:t>
      </w:r>
    </w:p>
    <w:p w14:paraId="6557109F" w14:textId="77777777" w:rsid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333333"/>
          <w:lang w:val="en-GB"/>
        </w:rPr>
      </w:pPr>
    </w:p>
    <w:p w14:paraId="02E5A0FB" w14:textId="642DB886" w:rsidR="00325B96" w:rsidRPr="00325B96" w:rsidRDefault="00325B96" w:rsidP="0018587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325B96">
        <w:rPr>
          <w:rStyle w:val="normaltextrun"/>
          <w:rFonts w:ascii="Calibri" w:hAnsi="Calibri" w:cs="Calibri"/>
          <w:b/>
          <w:bCs/>
        </w:rPr>
        <w:t xml:space="preserve">SAGER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kılavuzlarını</w:t>
      </w:r>
      <w:proofErr w:type="spellEnd"/>
      <w:r w:rsidRPr="00325B96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benimseyin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ve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uygulanması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için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hyperlink r:id="rId12" w:history="1">
        <w:proofErr w:type="spellStart"/>
        <w:r w:rsidRPr="00325B96">
          <w:rPr>
            <w:rStyle w:val="Hyperlink"/>
            <w:rFonts w:ascii="Calibri" w:hAnsi="Calibri" w:cs="Calibri"/>
          </w:rPr>
          <w:t>gerekli</w:t>
        </w:r>
        <w:proofErr w:type="spellEnd"/>
        <w:r w:rsidRPr="00325B96">
          <w:rPr>
            <w:rStyle w:val="Hyperlink"/>
            <w:rFonts w:ascii="Calibri" w:hAnsi="Calibri" w:cs="Calibri"/>
          </w:rPr>
          <w:t xml:space="preserve"> </w:t>
        </w:r>
        <w:proofErr w:type="spellStart"/>
        <w:r w:rsidRPr="00325B96">
          <w:rPr>
            <w:rStyle w:val="Hyperlink"/>
            <w:rFonts w:ascii="Calibri" w:hAnsi="Calibri" w:cs="Calibri"/>
          </w:rPr>
          <w:t>adımları</w:t>
        </w:r>
        <w:proofErr w:type="spellEnd"/>
      </w:hyperlink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atın</w:t>
      </w:r>
      <w:proofErr w:type="spellEnd"/>
      <w:r w:rsidRPr="00325B96">
        <w:rPr>
          <w:rStyle w:val="normaltextrun"/>
          <w:rFonts w:ascii="Calibri" w:hAnsi="Calibri" w:cs="Calibri"/>
        </w:rPr>
        <w:t>.</w:t>
      </w:r>
    </w:p>
    <w:p w14:paraId="3F35EBE6" w14:textId="1E8350A5" w:rsidR="00325B96" w:rsidRPr="00325B96" w:rsidRDefault="00325B96" w:rsidP="0018587D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proofErr w:type="spellStart"/>
      <w:r w:rsidRPr="00325B96">
        <w:rPr>
          <w:rStyle w:val="normaltextrun"/>
          <w:rFonts w:ascii="Calibri" w:hAnsi="Calibri" w:cs="Calibri"/>
        </w:rPr>
        <w:t>Araştırma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kalitesini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güçlendirmede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biyolojik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cinsiyet</w:t>
      </w:r>
      <w:proofErr w:type="spellEnd"/>
      <w:r w:rsidRPr="00325B96">
        <w:rPr>
          <w:rStyle w:val="normaltextrun"/>
          <w:rFonts w:ascii="Calibri" w:hAnsi="Calibri" w:cs="Calibri"/>
        </w:rPr>
        <w:t xml:space="preserve"> (sex) </w:t>
      </w:r>
      <w:proofErr w:type="spellStart"/>
      <w:r w:rsidRPr="00325B96">
        <w:rPr>
          <w:rStyle w:val="normaltextrun"/>
          <w:rFonts w:ascii="Calibri" w:hAnsi="Calibri" w:cs="Calibri"/>
        </w:rPr>
        <w:t>ve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toplumsal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cinsiyet</w:t>
      </w:r>
      <w:proofErr w:type="spellEnd"/>
      <w:r w:rsidRPr="00325B96">
        <w:rPr>
          <w:rStyle w:val="normaltextrun"/>
          <w:rFonts w:ascii="Calibri" w:hAnsi="Calibri" w:cs="Calibri"/>
        </w:rPr>
        <w:t xml:space="preserve"> (gender) </w:t>
      </w:r>
      <w:proofErr w:type="spellStart"/>
      <w:r w:rsidRPr="00325B96">
        <w:rPr>
          <w:rStyle w:val="normaltextrun"/>
          <w:rFonts w:ascii="Calibri" w:hAnsi="Calibri" w:cs="Calibri"/>
        </w:rPr>
        <w:t>boyutlarının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rolünü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ele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alan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bir</w:t>
      </w:r>
      <w:proofErr w:type="spellEnd"/>
      <w:r w:rsidRPr="00325B96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editoryal</w:t>
      </w:r>
      <w:proofErr w:type="spellEnd"/>
      <w:r w:rsidRPr="00325B96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yazı</w:t>
      </w:r>
      <w:proofErr w:type="spellEnd"/>
      <w:r w:rsidRPr="00325B96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veya</w:t>
      </w:r>
      <w:proofErr w:type="spellEnd"/>
      <w:r w:rsidRPr="00325B96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görüş</w:t>
      </w:r>
      <w:proofErr w:type="spellEnd"/>
      <w:r w:rsidRPr="00325B96">
        <w:rPr>
          <w:rStyle w:val="normaltextrun"/>
          <w:rFonts w:ascii="Calibri" w:hAnsi="Calibri" w:cs="Calibri"/>
          <w:b/>
          <w:bCs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yazısı</w:t>
      </w:r>
      <w:proofErr w:type="spellEnd"/>
      <w:r w:rsidRPr="00325B96">
        <w:rPr>
          <w:rStyle w:val="normaltextrun"/>
          <w:rFonts w:ascii="Calibri" w:hAnsi="Calibri" w:cs="Calibri"/>
          <w:b/>
          <w:bCs/>
        </w:rPr>
        <w:t xml:space="preserve"> (Op-Ed) </w:t>
      </w:r>
      <w:proofErr w:type="spellStart"/>
      <w:r w:rsidRPr="00325B96">
        <w:rPr>
          <w:rStyle w:val="normaltextrun"/>
          <w:rFonts w:ascii="Calibri" w:hAnsi="Calibri" w:cs="Calibri"/>
          <w:b/>
          <w:bCs/>
        </w:rPr>
        <w:t>yayımlayın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ve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bizimle</w:t>
      </w:r>
      <w:proofErr w:type="spellEnd"/>
      <w:r w:rsidRPr="00325B96">
        <w:rPr>
          <w:rStyle w:val="normaltextrun"/>
          <w:rFonts w:ascii="Calibri" w:hAnsi="Calibri" w:cs="Calibri"/>
        </w:rPr>
        <w:t xml:space="preserve"> </w:t>
      </w:r>
      <w:proofErr w:type="spellStart"/>
      <w:r w:rsidRPr="00325B96">
        <w:rPr>
          <w:rStyle w:val="normaltextrun"/>
          <w:rFonts w:ascii="Calibri" w:hAnsi="Calibri" w:cs="Calibri"/>
        </w:rPr>
        <w:t>paylaşın</w:t>
      </w:r>
      <w:proofErr w:type="spellEnd"/>
      <w:r w:rsidRPr="00325B96">
        <w:rPr>
          <w:rStyle w:val="normaltextrun"/>
          <w:rFonts w:ascii="Calibri" w:hAnsi="Calibri" w:cs="Calibri"/>
        </w:rPr>
        <w:t>.</w:t>
      </w:r>
    </w:p>
    <w:p w14:paraId="21E42BCE" w14:textId="1861AA16" w:rsidR="00325B96" w:rsidRPr="00325B96" w:rsidRDefault="00325B96" w:rsidP="0018587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25B96">
        <w:rPr>
          <w:rStyle w:val="Strong"/>
          <w:b w:val="0"/>
          <w:bCs w:val="0"/>
        </w:rPr>
        <w:t xml:space="preserve">#SAGERguidelines </w:t>
      </w:r>
      <w:proofErr w:type="spellStart"/>
      <w:r w:rsidRPr="00325B96">
        <w:rPr>
          <w:rStyle w:val="Strong"/>
          <w:b w:val="0"/>
          <w:bCs w:val="0"/>
        </w:rPr>
        <w:t>ve</w:t>
      </w:r>
      <w:proofErr w:type="spellEnd"/>
      <w:r w:rsidRPr="00325B96">
        <w:rPr>
          <w:rStyle w:val="Strong"/>
          <w:b w:val="0"/>
          <w:bCs w:val="0"/>
        </w:rPr>
        <w:t xml:space="preserve"> </w:t>
      </w:r>
      <w:proofErr w:type="spellStart"/>
      <w:r w:rsidRPr="00325B96">
        <w:rPr>
          <w:rStyle w:val="Strong"/>
          <w:b w:val="0"/>
          <w:bCs w:val="0"/>
        </w:rPr>
        <w:t>yıl</w:t>
      </w:r>
      <w:proofErr w:type="spellEnd"/>
      <w:r w:rsidRPr="00325B96">
        <w:rPr>
          <w:rStyle w:val="Strong"/>
          <w:b w:val="0"/>
          <w:bCs w:val="0"/>
        </w:rPr>
        <w:t xml:space="preserve"> </w:t>
      </w:r>
      <w:proofErr w:type="spellStart"/>
      <w:r w:rsidRPr="00325B96">
        <w:rPr>
          <w:rStyle w:val="Strong"/>
          <w:b w:val="0"/>
          <w:bCs w:val="0"/>
        </w:rPr>
        <w:t>dönümüne</w:t>
      </w:r>
      <w:proofErr w:type="spellEnd"/>
      <w:r w:rsidRPr="00325B96">
        <w:rPr>
          <w:rStyle w:val="Strong"/>
          <w:b w:val="0"/>
          <w:bCs w:val="0"/>
        </w:rPr>
        <w:t xml:space="preserve"> </w:t>
      </w:r>
      <w:proofErr w:type="spellStart"/>
      <w:r w:rsidRPr="00325B96">
        <w:rPr>
          <w:rStyle w:val="Strong"/>
          <w:b w:val="0"/>
          <w:bCs w:val="0"/>
        </w:rPr>
        <w:t>özel</w:t>
      </w:r>
      <w:proofErr w:type="spellEnd"/>
      <w:r w:rsidRPr="00325B96">
        <w:rPr>
          <w:rStyle w:val="Strong"/>
          <w:b w:val="0"/>
          <w:bCs w:val="0"/>
        </w:rPr>
        <w:t xml:space="preserve"> #SAGER10 </w:t>
      </w:r>
      <w:proofErr w:type="spellStart"/>
      <w:r w:rsidRPr="00325B96">
        <w:rPr>
          <w:rStyle w:val="Strong"/>
          <w:b w:val="0"/>
          <w:bCs w:val="0"/>
        </w:rPr>
        <w:t>etiketlerini</w:t>
      </w:r>
      <w:proofErr w:type="spellEnd"/>
      <w:r w:rsidRPr="00325B96">
        <w:rPr>
          <w:rStyle w:val="Strong"/>
          <w:b w:val="0"/>
          <w:bCs w:val="0"/>
        </w:rPr>
        <w:t xml:space="preserve"> </w:t>
      </w:r>
      <w:proofErr w:type="spellStart"/>
      <w:r w:rsidRPr="00325B96">
        <w:rPr>
          <w:rStyle w:val="Strong"/>
          <w:b w:val="0"/>
          <w:bCs w:val="0"/>
        </w:rPr>
        <w:t>kullanarak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sosyal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medya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kampanyasına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katılın</w:t>
      </w:r>
      <w:proofErr w:type="spellEnd"/>
      <w:r>
        <w:rPr>
          <w:rStyle w:val="Strong"/>
        </w:rPr>
        <w:t>.</w:t>
      </w:r>
      <w:r>
        <w:t xml:space="preserve"> SAGER </w:t>
      </w:r>
      <w:proofErr w:type="spellStart"/>
      <w:r>
        <w:t>kılavuzlarını</w:t>
      </w:r>
      <w:proofErr w:type="spellEnd"/>
      <w:r>
        <w:t xml:space="preserve"> </w:t>
      </w:r>
      <w:proofErr w:type="spellStart"/>
      <w:r>
        <w:t>benimsediyseniz</w:t>
      </w:r>
      <w:proofErr w:type="spellEnd"/>
      <w:r>
        <w:t xml:space="preserve">, </w:t>
      </w:r>
      <w:proofErr w:type="spellStart"/>
      <w:r>
        <w:t>deneyiminizi</w:t>
      </w:r>
      <w:proofErr w:type="spellEnd"/>
      <w:r>
        <w:t xml:space="preserve"> </w:t>
      </w:r>
      <w:proofErr w:type="spellStart"/>
      <w:r>
        <w:t>LinkedIn’de</w:t>
      </w:r>
      <w:proofErr w:type="spellEnd"/>
      <w:r>
        <w:t xml:space="preserve">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alıntı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kısa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video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paylaşabilir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lastRenderedPageBreak/>
        <w:t>doğrudan</w:t>
      </w:r>
      <w:proofErr w:type="spellEnd"/>
      <w:r>
        <w:t xml:space="preserve"> </w:t>
      </w:r>
      <w:hyperlink r:id="rId13" w:history="1">
        <w:r w:rsidRPr="0018587D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info@gendro.org</w:t>
        </w:r>
      </w:hyperlink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gönderebilirsiniz</w:t>
      </w:r>
      <w:proofErr w:type="spellEnd"/>
      <w:r>
        <w:t xml:space="preserve">. </w:t>
      </w:r>
      <w:proofErr w:type="spellStart"/>
      <w:r>
        <w:t>Seçilen</w:t>
      </w:r>
      <w:proofErr w:type="spellEnd"/>
      <w:r>
        <w:t xml:space="preserve"> </w:t>
      </w:r>
      <w:proofErr w:type="spellStart"/>
      <w:r>
        <w:t>katkılar</w:t>
      </w:r>
      <w:proofErr w:type="spellEnd"/>
      <w:r>
        <w:t xml:space="preserve"> </w:t>
      </w:r>
      <w:hyperlink r:id="rId14" w:history="1">
        <w:proofErr w:type="spellStart"/>
        <w:r w:rsidRPr="00325B96">
          <w:rPr>
            <w:rStyle w:val="Hyperlink"/>
          </w:rPr>
          <w:t>GENDRO’nun</w:t>
        </w:r>
        <w:proofErr w:type="spellEnd"/>
        <w:r w:rsidRPr="00325B96">
          <w:rPr>
            <w:rStyle w:val="Hyperlink"/>
          </w:rPr>
          <w:t xml:space="preserve"> LinkedIn </w:t>
        </w:r>
        <w:proofErr w:type="spellStart"/>
        <w:r w:rsidRPr="00325B96">
          <w:rPr>
            <w:rStyle w:val="Hyperlink"/>
          </w:rPr>
          <w:t>hesabında</w:t>
        </w:r>
        <w:proofErr w:type="spellEnd"/>
      </w:hyperlink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paylaşılacaktır</w:t>
      </w:r>
      <w:proofErr w:type="spellEnd"/>
      <w:r>
        <w:t>.</w:t>
      </w:r>
    </w:p>
    <w:p w14:paraId="43767485" w14:textId="1DCDB32F" w:rsidR="00325B96" w:rsidRPr="00325B96" w:rsidRDefault="00325B96" w:rsidP="0018587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proofErr w:type="spellStart"/>
      <w:r w:rsidRPr="00325B9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SAGER’i</w:t>
      </w:r>
      <w:proofErr w:type="spellEnd"/>
      <w:r w:rsidRPr="00325B9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ülkenize</w:t>
      </w:r>
      <w:proofErr w:type="spellEnd"/>
      <w:r w:rsidRPr="00325B9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taşıyın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: Daha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kapsayıcı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ve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geniş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bir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erişim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sağlamak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amacıyla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SAGER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kılavuzlarının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ulusal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dillere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çevrilmesine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gönüllü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olarak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katkıda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bulunun</w:t>
      </w:r>
      <w:proofErr w:type="spellEnd"/>
      <w:r w:rsidRPr="00325B9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709CB4AF" w14:textId="77777777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167B7854" w14:textId="06640E27" w:rsidR="0018587D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Daha iyi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bilim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toplumsal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cinsiyet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eşitliği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ve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herkes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için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sağlıkta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eşitlik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hedefi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doğrultusunda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, SAGER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kılavuzlarının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araştırma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uygulamalarında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küresel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ölçekte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hayata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geçirilmesini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amaçlayan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küresel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harekete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325B96">
        <w:rPr>
          <w:rStyle w:val="normaltextrun"/>
          <w:rFonts w:ascii="Calibri" w:eastAsiaTheme="majorEastAsia" w:hAnsi="Calibri" w:cs="Calibri"/>
          <w:lang w:val="en-GB"/>
        </w:rPr>
        <w:t>katılın</w:t>
      </w:r>
      <w:proofErr w:type="spellEnd"/>
      <w:r w:rsidRPr="00325B96">
        <w:rPr>
          <w:rStyle w:val="normaltextrun"/>
          <w:rFonts w:ascii="Calibri" w:eastAsiaTheme="majorEastAsia" w:hAnsi="Calibri" w:cs="Calibri"/>
          <w:lang w:val="en-GB"/>
        </w:rPr>
        <w:t>.</w:t>
      </w:r>
    </w:p>
    <w:p w14:paraId="0726C015" w14:textId="77777777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429FF935" w14:textId="77777777" w:rsidR="00325B96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36BD0696" w14:textId="77777777" w:rsidR="00325B96" w:rsidRPr="0018587D" w:rsidRDefault="00325B9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5E2912B0" w14:textId="7E7E2159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SAGER </w:t>
      </w:r>
      <w:proofErr w:type="spellStart"/>
      <w:r w:rsidR="0059413F">
        <w:rPr>
          <w:rStyle w:val="normaltextrun"/>
          <w:rFonts w:ascii="Calibri" w:eastAsiaTheme="majorEastAsia" w:hAnsi="Calibri" w:cs="Calibri"/>
          <w:b/>
          <w:bCs/>
          <w:lang w:val="en-GB"/>
        </w:rPr>
        <w:t>kılavuzları</w:t>
      </w:r>
      <w:proofErr w:type="spellEnd"/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, EASE </w:t>
      </w:r>
      <w:proofErr w:type="spellStart"/>
      <w:r w:rsidR="0059413F">
        <w:rPr>
          <w:rStyle w:val="normaltextrun"/>
          <w:rFonts w:ascii="Calibri" w:eastAsiaTheme="majorEastAsia" w:hAnsi="Calibri" w:cs="Calibri"/>
          <w:b/>
          <w:bCs/>
          <w:lang w:val="en-GB"/>
        </w:rPr>
        <w:t>ve</w:t>
      </w:r>
      <w:proofErr w:type="spellEnd"/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GENDRO</w:t>
      </w:r>
      <w:r w:rsidR="0059413F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="0059413F">
        <w:rPr>
          <w:rStyle w:val="normaltextrun"/>
          <w:rFonts w:ascii="Calibri" w:eastAsiaTheme="majorEastAsia" w:hAnsi="Calibri" w:cs="Calibri"/>
          <w:b/>
          <w:bCs/>
          <w:lang w:val="en-GB"/>
        </w:rPr>
        <w:t>Hakkında</w:t>
      </w:r>
      <w:proofErr w:type="spellEnd"/>
    </w:p>
    <w:p w14:paraId="14C879ED" w14:textId="77777777" w:rsidR="008A4291" w:rsidRDefault="008A4291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</w:p>
    <w:p w14:paraId="5E901873" w14:textId="012E1EE1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  <w:hyperlink r:id="rId15" w:history="1">
        <w:r w:rsidRPr="00E50AE8">
          <w:rPr>
            <w:rStyle w:val="Hyperlink"/>
            <w:rFonts w:ascii="Calibri" w:eastAsiaTheme="majorEastAsia" w:hAnsi="Calibri" w:cs="Calibri"/>
            <w:shd w:val="clear" w:color="auto" w:fill="FFFFFF"/>
            <w:lang w:val="en-US"/>
          </w:rPr>
          <w:t>European Association of Science Editors</w:t>
        </w:r>
      </w:hyperlink>
      <w:r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(</w:t>
      </w:r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EASE</w:t>
      </w:r>
      <w:r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)</w:t>
      </w:r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editoryal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kaliteyi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yükselterek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araştırmaya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duyulan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güveni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güçlendirmeyi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amaçlayan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küresel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bir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akademik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editörler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bilimsel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iletişim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profesyonelleri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topluluğudur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.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Uzman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kaynaklar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pratik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rehberlik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güçlü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bir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uluslararası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ağ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aracılığıyla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editoryal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sürecin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her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aşamasında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mükemmeliyeti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teşvik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etmektedir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.</w:t>
      </w:r>
    </w:p>
    <w:p w14:paraId="29D93578" w14:textId="77777777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</w:p>
    <w:p w14:paraId="5FFA8901" w14:textId="192537EC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  <w:hyperlink r:id="rId16" w:history="1">
        <w:r w:rsidRPr="00E50AE8">
          <w:rPr>
            <w:rStyle w:val="Hyperlink"/>
            <w:rFonts w:ascii="Calibri" w:eastAsiaTheme="majorEastAsia" w:hAnsi="Calibri" w:cs="Calibri"/>
            <w:shd w:val="clear" w:color="auto" w:fill="FFFFFF"/>
            <w:lang w:val="en-US"/>
          </w:rPr>
          <w:t>GENDRO</w:t>
        </w:r>
      </w:hyperlink>
      <w:r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ise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cinsiyete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duyarlı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sorumlu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kapsayıcı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araştırmayı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teşvik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etmeye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adanmış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küresel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bir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sivil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toplum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kuruluşudur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.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Kanıt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boşluklarını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gidermeyi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önyargılarına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meydan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okumayı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araştırma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ekosisteminde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somut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etki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yaratacak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sistemsel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dönüşümü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desteklemeyi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amaçlamaktadır</w:t>
      </w:r>
      <w:proofErr w:type="spellEnd"/>
      <w:r w:rsidRPr="00E50AE8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.</w:t>
      </w:r>
    </w:p>
    <w:p w14:paraId="5060393F" w14:textId="77777777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CE4017C" w14:textId="4CBEE92B" w:rsidR="0018587D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proofErr w:type="spellStart"/>
      <w:r w:rsidRPr="00E50AE8">
        <w:rPr>
          <w:rStyle w:val="normaltextrun"/>
          <w:rFonts w:ascii="Calibri" w:eastAsiaTheme="majorEastAsia" w:hAnsi="Calibri" w:cs="Calibri"/>
        </w:rPr>
        <w:t>Ekim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2012’de, EASE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Konseyi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—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Konsey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üyesi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Dr. Shirin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Heidari’nin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girişimiyle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—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bilimsel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yayıncılıkta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dengesini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teşvik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etmek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bilimsel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dergilerde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biyolojik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özgü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verilerin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daha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tutarlı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biçimde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raporlanmasını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sağlamak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amacıyla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Politikası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Komitesi’ni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(</w:t>
      </w:r>
      <w:r w:rsidRPr="00E50AE8">
        <w:rPr>
          <w:rStyle w:val="normaltextrun"/>
          <w:rFonts w:ascii="Calibri" w:eastAsiaTheme="majorEastAsia" w:hAnsi="Calibri" w:cs="Calibri"/>
          <w:i/>
          <w:iCs/>
        </w:rPr>
        <w:t>Gender Policy Committee</w:t>
      </w:r>
      <w:r w:rsidRPr="00E50AE8">
        <w:rPr>
          <w:rStyle w:val="normaltextrun"/>
          <w:rFonts w:ascii="Calibri" w:eastAsiaTheme="majorEastAsia" w:hAnsi="Calibri" w:cs="Calibri"/>
        </w:rPr>
        <w:t xml:space="preserve"> – GPC)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kurmuştur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. Bu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girişim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araştırma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disiplinlerinin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çoğunda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biyolojik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açık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önemine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rağmen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editoryal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politikalarının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yaygın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olmaması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gibi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belirgin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gereksinime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yanıt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olarak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ortaya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çıkmıştır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>.</w:t>
      </w:r>
    </w:p>
    <w:p w14:paraId="51228B65" w14:textId="77777777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0491AC2B" w14:textId="6264978F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proofErr w:type="spellStart"/>
      <w:r w:rsidRPr="00E50AE8">
        <w:rPr>
          <w:rStyle w:val="normaltextrun"/>
          <w:rFonts w:ascii="Calibri" w:eastAsiaTheme="majorEastAsia" w:hAnsi="Calibri" w:cs="Calibri"/>
        </w:rPr>
        <w:t>Yoğun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değerlendirme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süreçleri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geniş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kapsamlı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istişarelerin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ardından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EASE GPC, 2016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yılında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SAGER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kılavuzlarını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yayımlamıştır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. Bu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kılavuzlar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araştırmacılar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yazarlar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dergi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editörleri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yayınevleri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için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biyolojik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boyutlarının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araştırmalarda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rutin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olarak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raporlanmasını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sağlamak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üzere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geliştirilmiş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pratik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araç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niteliğindedir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>.</w:t>
      </w:r>
    </w:p>
    <w:p w14:paraId="149CBA0C" w14:textId="77777777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331D351" w14:textId="3E0605DD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  <w:hyperlink r:id="rId17" w:history="1">
        <w:r w:rsidRPr="00E50AE8">
          <w:rPr>
            <w:rStyle w:val="Hyperlink"/>
            <w:rFonts w:ascii="Calibri" w:eastAsiaTheme="majorEastAsia" w:hAnsi="Calibri" w:cs="Calibri"/>
          </w:rPr>
          <w:t>EASE GPC</w:t>
        </w:r>
      </w:hyperlink>
      <w:r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>
        <w:rPr>
          <w:rStyle w:val="normaltextrun"/>
          <w:rFonts w:ascii="Calibri" w:eastAsiaTheme="majorEastAsia" w:hAnsi="Calibri" w:cs="Calibri"/>
        </w:rPr>
        <w:t>g</w:t>
      </w:r>
      <w:r w:rsidRPr="00E50AE8">
        <w:rPr>
          <w:rStyle w:val="normaltextrun"/>
          <w:rFonts w:ascii="Calibri" w:eastAsiaTheme="majorEastAsia" w:hAnsi="Calibri" w:cs="Calibri"/>
        </w:rPr>
        <w:t>örev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süresi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2021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yılında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sona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erdiğinde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, SAGER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kılavuzlarının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lider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sorumluluğu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GENDRO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tarafından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üstlenilmiş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kılavuzların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daha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geniş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ölçekte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yaygınlaştırılması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ile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benimsenmesini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desteklemek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amacıyla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EASE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ile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yakın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birliği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sürdürülmüştür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. EASE,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kılavuzların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farklı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dillere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çevrilmesine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öncülük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etmeye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devam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ederek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bu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kaynakların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yalnızca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İngilizce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yayın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yapan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dergilerle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sınırlı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kalmayıp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çok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daha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geniş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kitle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için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erişilebilir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olmasını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sağlamaktadır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. 2026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yılında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GENDRO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EASE,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bu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verimli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birliğini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bir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Mutabakat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Zaptı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(</w:t>
      </w:r>
      <w:r w:rsidRPr="00E50AE8">
        <w:rPr>
          <w:rStyle w:val="normaltextrun"/>
          <w:rFonts w:ascii="Calibri" w:eastAsiaTheme="majorEastAsia" w:hAnsi="Calibri" w:cs="Calibri"/>
          <w:i/>
          <w:iCs/>
        </w:rPr>
        <w:t>Memorandum of Understanding</w:t>
      </w:r>
      <w:r w:rsidRPr="00E50AE8">
        <w:rPr>
          <w:rStyle w:val="normaltextrun"/>
          <w:rFonts w:ascii="Calibri" w:eastAsiaTheme="majorEastAsia" w:hAnsi="Calibri" w:cs="Calibri"/>
        </w:rPr>
        <w:t xml:space="preserve">)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ile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resmileştirmiş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ve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araştırmalarda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toplumsal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cinsiyete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ilişkin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kanıt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boşluklarını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gidermeye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yönelik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ortak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kararlılıklarını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yeniden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teyit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</w:rPr>
        <w:t>etmiştir</w:t>
      </w:r>
      <w:proofErr w:type="spellEnd"/>
      <w:r w:rsidRPr="00E50AE8">
        <w:rPr>
          <w:rStyle w:val="normaltextrun"/>
          <w:rFonts w:ascii="Calibri" w:eastAsiaTheme="majorEastAsia" w:hAnsi="Calibri" w:cs="Calibri"/>
        </w:rPr>
        <w:t>.</w:t>
      </w:r>
    </w:p>
    <w:p w14:paraId="5A7A2189" w14:textId="77777777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</w:rPr>
      </w:pPr>
    </w:p>
    <w:p w14:paraId="40F3756D" w14:textId="77777777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6188B8BE" w14:textId="77777777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79AABF4B" w14:textId="77777777" w:rsidR="00E50AE8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proofErr w:type="spellStart"/>
      <w:r w:rsidRPr="00E50AE8">
        <w:rPr>
          <w:rStyle w:val="normaltextrun"/>
          <w:rFonts w:ascii="Calibri" w:eastAsiaTheme="majorEastAsia" w:hAnsi="Calibri" w:cs="Calibri"/>
          <w:b/>
          <w:bCs/>
          <w:lang w:val="en-GB"/>
        </w:rPr>
        <w:t>Basın</w:t>
      </w:r>
      <w:proofErr w:type="spellEnd"/>
      <w:r w:rsidRPr="00E50AE8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E50AE8">
        <w:rPr>
          <w:rStyle w:val="normaltextrun"/>
          <w:rFonts w:ascii="Calibri" w:eastAsiaTheme="majorEastAsia" w:hAnsi="Calibri" w:cs="Calibri"/>
          <w:b/>
          <w:bCs/>
          <w:lang w:val="en-GB"/>
        </w:rPr>
        <w:t>İrtibatı</w:t>
      </w:r>
      <w:proofErr w:type="spellEnd"/>
    </w:p>
    <w:p w14:paraId="3D4CCA12" w14:textId="79A63E23" w:rsid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Sara Achik </w:t>
      </w:r>
      <w:proofErr w:type="spellStart"/>
      <w:r w:rsidR="00E50AE8">
        <w:rPr>
          <w:rStyle w:val="normaltextrun"/>
          <w:rFonts w:ascii="Calibri" w:eastAsiaTheme="majorEastAsia" w:hAnsi="Calibri" w:cs="Calibri"/>
          <w:lang w:val="en-GB"/>
        </w:rPr>
        <w:t>ve</w:t>
      </w:r>
      <w:proofErr w:type="spellEnd"/>
      <w:r w:rsidR="00E50AE8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Chetna Krishna Becker</w:t>
      </w:r>
    </w:p>
    <w:p w14:paraId="1492DB9D" w14:textId="000E2D11" w:rsidR="00E50AE8" w:rsidRPr="0018587D" w:rsidRDefault="00E50AE8" w:rsidP="001858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lang w:val="en-GB"/>
        </w:rPr>
      </w:pPr>
      <w:hyperlink r:id="rId18" w:history="1">
        <w:r w:rsidRPr="00E50AE8">
          <w:rPr>
            <w:rStyle w:val="Hyperlink"/>
            <w:rFonts w:ascii="Calibri" w:eastAsiaTheme="majorEastAsia" w:hAnsi="Calibri" w:cs="Calibri"/>
            <w:lang w:val="en-GB"/>
          </w:rPr>
          <w:t>info@gendro.org</w:t>
        </w:r>
      </w:hyperlink>
    </w:p>
    <w:p w14:paraId="2C9A5313" w14:textId="23671363" w:rsidR="0018587D" w:rsidRPr="0018587D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245C788" w14:textId="23450B42" w:rsidR="0018587D" w:rsidRPr="008A4291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7AC56F5" w14:textId="1CF7821C" w:rsidR="00987A13" w:rsidRPr="0018587D" w:rsidRDefault="00605E9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E4729C3" wp14:editId="65CC0E10">
            <wp:simplePos x="0" y="0"/>
            <wp:positionH relativeFrom="margin">
              <wp:align>left</wp:align>
            </wp:positionH>
            <wp:positionV relativeFrom="page">
              <wp:posOffset>2390140</wp:posOffset>
            </wp:positionV>
            <wp:extent cx="2301875" cy="733425"/>
            <wp:effectExtent l="0" t="0" r="3175" b="9525"/>
            <wp:wrapTight wrapText="bothSides">
              <wp:wrapPolygon edited="0">
                <wp:start x="0" y="0"/>
                <wp:lineTo x="0" y="21319"/>
                <wp:lineTo x="21451" y="21319"/>
                <wp:lineTo x="21451" y="0"/>
                <wp:lineTo x="0" y="0"/>
              </wp:wrapPolygon>
            </wp:wrapTight>
            <wp:docPr id="8703864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86449" name="Picture 87038644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18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7A13" w:rsidRPr="0018587D">
      <w:footerReference w:type="even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D1F9" w14:textId="77777777" w:rsidR="00A33A2D" w:rsidRDefault="00A33A2D" w:rsidP="0018587D">
      <w:pPr>
        <w:spacing w:after="0" w:line="240" w:lineRule="auto"/>
      </w:pPr>
      <w:r>
        <w:separator/>
      </w:r>
    </w:p>
  </w:endnote>
  <w:endnote w:type="continuationSeparator" w:id="0">
    <w:p w14:paraId="6C7C9FDB" w14:textId="77777777" w:rsidR="00A33A2D" w:rsidRDefault="00A33A2D" w:rsidP="0018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6092020"/>
      <w:docPartObj>
        <w:docPartGallery w:val="Page Numbers (Bottom of Page)"/>
        <w:docPartUnique/>
      </w:docPartObj>
    </w:sdtPr>
    <w:sdtContent>
      <w:p w14:paraId="29104C73" w14:textId="62045B04" w:rsidR="00E50AE8" w:rsidRDefault="00E50AE8" w:rsidP="00683A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EBC4E2F" w14:textId="77777777" w:rsidR="00E50AE8" w:rsidRDefault="00E50AE8" w:rsidP="00E50A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3769106"/>
      <w:docPartObj>
        <w:docPartGallery w:val="Page Numbers (Bottom of Page)"/>
        <w:docPartUnique/>
      </w:docPartObj>
    </w:sdtPr>
    <w:sdtContent>
      <w:p w14:paraId="4044A5FF" w14:textId="44F38997" w:rsidR="00E50AE8" w:rsidRDefault="00E50AE8" w:rsidP="00683A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6E51CB" w14:textId="77777777" w:rsidR="00E50AE8" w:rsidRDefault="00E50AE8" w:rsidP="00E50A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4BE0" w14:textId="77777777" w:rsidR="00A33A2D" w:rsidRDefault="00A33A2D" w:rsidP="0018587D">
      <w:pPr>
        <w:spacing w:after="0" w:line="240" w:lineRule="auto"/>
      </w:pPr>
      <w:r>
        <w:separator/>
      </w:r>
    </w:p>
  </w:footnote>
  <w:footnote w:type="continuationSeparator" w:id="0">
    <w:p w14:paraId="5E94890F" w14:textId="77777777" w:rsidR="00A33A2D" w:rsidRDefault="00A33A2D" w:rsidP="0018587D">
      <w:pPr>
        <w:spacing w:after="0" w:line="240" w:lineRule="auto"/>
      </w:pPr>
      <w:r>
        <w:continuationSeparator/>
      </w:r>
    </w:p>
  </w:footnote>
  <w:footnote w:id="1">
    <w:p w14:paraId="7CA5133B" w14:textId="4FD9A1A0" w:rsidR="00325B96" w:rsidRPr="008A4291" w:rsidRDefault="00325B96" w:rsidP="00325B96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Style w:val="FootnoteReference"/>
        </w:rPr>
        <w:footnoteRef/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Erişim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sayıları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,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benzersiz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görüntüleme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ve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indirmelerin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yaklaşık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bir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sayısını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ifade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etmektedir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.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Atıf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sayıları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ise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dergi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metriklerine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dayalı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olarak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Dimensions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veritabanı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tarafından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sağlanmakta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olup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veri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erişilebilirliğine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bağlıdır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. Bu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nedenle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sunulan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verilerin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ihtiyatlı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bir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tahmin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olduğu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değerlendirilmektedir</w:t>
      </w:r>
      <w:proofErr w:type="spellEnd"/>
      <w:r w:rsidRPr="00325B96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</w:t>
      </w:r>
      <w:hyperlink r:id="rId1" w:history="1">
        <w:r w:rsidRPr="008A4291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GB"/>
            <w14:ligatures w14:val="none"/>
          </w:rPr>
          <w:t>https://link.springer.com/article/10.1186/s41073-016-0007-6/metrics</w:t>
        </w:r>
      </w:hyperlink>
      <w:r w:rsidRPr="008A429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63DFC082" w14:textId="77777777" w:rsidR="00325B96" w:rsidRPr="008A4291" w:rsidRDefault="00325B96" w:rsidP="00325B96">
      <w:pPr>
        <w:pStyle w:val="FootnoteTex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BCB"/>
    <w:multiLevelType w:val="hybridMultilevel"/>
    <w:tmpl w:val="4AF4C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C0D79"/>
    <w:multiLevelType w:val="multilevel"/>
    <w:tmpl w:val="229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4B3D54"/>
    <w:multiLevelType w:val="multilevel"/>
    <w:tmpl w:val="24F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2777D"/>
    <w:multiLevelType w:val="multilevel"/>
    <w:tmpl w:val="6D2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B01F5A"/>
    <w:multiLevelType w:val="multilevel"/>
    <w:tmpl w:val="FEB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608136">
    <w:abstractNumId w:val="3"/>
  </w:num>
  <w:num w:numId="2" w16cid:durableId="1048186241">
    <w:abstractNumId w:val="1"/>
  </w:num>
  <w:num w:numId="3" w16cid:durableId="325862340">
    <w:abstractNumId w:val="2"/>
  </w:num>
  <w:num w:numId="4" w16cid:durableId="994527425">
    <w:abstractNumId w:val="4"/>
  </w:num>
  <w:num w:numId="5" w16cid:durableId="124002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7D"/>
    <w:rsid w:val="00026448"/>
    <w:rsid w:val="00055F77"/>
    <w:rsid w:val="000563BC"/>
    <w:rsid w:val="000F62DB"/>
    <w:rsid w:val="00117C39"/>
    <w:rsid w:val="00135B1C"/>
    <w:rsid w:val="0018587D"/>
    <w:rsid w:val="001D14A6"/>
    <w:rsid w:val="0022434F"/>
    <w:rsid w:val="00233AB8"/>
    <w:rsid w:val="002409A9"/>
    <w:rsid w:val="00320927"/>
    <w:rsid w:val="00325B96"/>
    <w:rsid w:val="003D5940"/>
    <w:rsid w:val="003E6C19"/>
    <w:rsid w:val="003F03F9"/>
    <w:rsid w:val="00462EE9"/>
    <w:rsid w:val="004C7B04"/>
    <w:rsid w:val="004F2EE2"/>
    <w:rsid w:val="004F561E"/>
    <w:rsid w:val="00503022"/>
    <w:rsid w:val="0059413F"/>
    <w:rsid w:val="005D6D6F"/>
    <w:rsid w:val="005E5D10"/>
    <w:rsid w:val="006021B7"/>
    <w:rsid w:val="00605E92"/>
    <w:rsid w:val="006A6CF7"/>
    <w:rsid w:val="00706322"/>
    <w:rsid w:val="007378D6"/>
    <w:rsid w:val="007471EF"/>
    <w:rsid w:val="0079079F"/>
    <w:rsid w:val="00813081"/>
    <w:rsid w:val="00851A2C"/>
    <w:rsid w:val="00872222"/>
    <w:rsid w:val="008A4291"/>
    <w:rsid w:val="00902230"/>
    <w:rsid w:val="00907A0F"/>
    <w:rsid w:val="009303F9"/>
    <w:rsid w:val="0095420F"/>
    <w:rsid w:val="00987A13"/>
    <w:rsid w:val="009F79C6"/>
    <w:rsid w:val="00A33A2D"/>
    <w:rsid w:val="00A42440"/>
    <w:rsid w:val="00B02C85"/>
    <w:rsid w:val="00B27972"/>
    <w:rsid w:val="00B42E56"/>
    <w:rsid w:val="00C1038F"/>
    <w:rsid w:val="00C327FD"/>
    <w:rsid w:val="00CD0314"/>
    <w:rsid w:val="00CE6423"/>
    <w:rsid w:val="00D31821"/>
    <w:rsid w:val="00D3230C"/>
    <w:rsid w:val="00D343B9"/>
    <w:rsid w:val="00DC1C4B"/>
    <w:rsid w:val="00DD4A03"/>
    <w:rsid w:val="00DF41A1"/>
    <w:rsid w:val="00E07690"/>
    <w:rsid w:val="00E50AE8"/>
    <w:rsid w:val="00E556B6"/>
    <w:rsid w:val="00E73B8C"/>
    <w:rsid w:val="00E90A4D"/>
    <w:rsid w:val="00EC42AE"/>
    <w:rsid w:val="00E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9D7C"/>
  <w15:chartTrackingRefBased/>
  <w15:docId w15:val="{BEE75AFC-C537-0343-A969-DD8A000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7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587D"/>
  </w:style>
  <w:style w:type="character" w:customStyle="1" w:styleId="eop">
    <w:name w:val="eop"/>
    <w:basedOn w:val="DefaultParagraphFont"/>
    <w:rsid w:val="0018587D"/>
  </w:style>
  <w:style w:type="character" w:styleId="Hyperlink">
    <w:name w:val="Hyperlink"/>
    <w:basedOn w:val="DefaultParagraphFont"/>
    <w:uiPriority w:val="99"/>
    <w:unhideWhenUsed/>
    <w:rsid w:val="0018587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8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8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587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A4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4291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25B9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50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E8"/>
  </w:style>
  <w:style w:type="character" w:styleId="PageNumber">
    <w:name w:val="page number"/>
    <w:basedOn w:val="DefaultParagraphFont"/>
    <w:uiPriority w:val="99"/>
    <w:semiHidden/>
    <w:unhideWhenUsed/>
    <w:rsid w:val="00E5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S4_dYHrX4I" TargetMode="External"/><Relationship Id="rId13" Type="http://schemas.openxmlformats.org/officeDocument/2006/relationships/hyperlink" Target="mailto:info@gendro.org" TargetMode="External"/><Relationship Id="rId18" Type="http://schemas.openxmlformats.org/officeDocument/2006/relationships/hyperlink" Target="http://info@gendro.org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gendro.org/sager-guidelines/" TargetMode="External"/><Relationship Id="rId17" Type="http://schemas.openxmlformats.org/officeDocument/2006/relationships/hyperlink" Target="https://ease.org.uk/communities/gender-policy-committee/the-sager-guidelin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ndro.org/who-we-ar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e.org.uk/event/12855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se.org.uk/about-u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ase.org.uk/communities/gender-policy-committee/the-sager-guidelines/" TargetMode="External"/><Relationship Id="rId19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186/s41073-016-0007-6" TargetMode="External"/><Relationship Id="rId14" Type="http://schemas.openxmlformats.org/officeDocument/2006/relationships/hyperlink" Target="https://www.linkedin.com/company/gendro-org/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nk.springer.com/article/10.1186/s41073-016-0007-6/met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Chetna Krishna Becker</dc:creator>
  <cp:keywords/>
  <dc:description/>
  <cp:lastModifiedBy>mary hodgson</cp:lastModifiedBy>
  <cp:revision>2</cp:revision>
  <dcterms:created xsi:type="dcterms:W3CDTF">2026-04-24T10:46:00Z</dcterms:created>
  <dcterms:modified xsi:type="dcterms:W3CDTF">2026-04-24T10:46:00Z</dcterms:modified>
</cp:coreProperties>
</file>